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FB2F" w14:textId="77777777" w:rsidR="00480C22" w:rsidRDefault="00480C22" w:rsidP="00480C22"/>
    <w:p w14:paraId="60740C4F" w14:textId="767D1493" w:rsidR="00480C22" w:rsidRPr="002F533D" w:rsidRDefault="00000000" w:rsidP="008766B6">
      <w:pPr>
        <w:pStyle w:val="NoSpacing"/>
        <w:numPr>
          <w:ilvl w:val="0"/>
          <w:numId w:val="3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sdt>
        <w:sdtPr>
          <w:rPr>
            <w:rFonts w:ascii="Dubai" w:eastAsiaTheme="majorEastAsia" w:hAnsi="Dubai" w:cs="Dubai"/>
            <w:color w:val="1F3864" w:themeColor="accent1" w:themeShade="80"/>
            <w:sz w:val="22"/>
            <w:szCs w:val="22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2F533D">
            <w:rPr>
              <w:rFonts w:ascii="Dubai" w:eastAsiaTheme="majorEastAsia" w:hAnsi="Dubai" w:cs="Dubai"/>
              <w:color w:val="1F3864" w:themeColor="accent1" w:themeShade="80"/>
              <w:sz w:val="22"/>
              <w:szCs w:val="22"/>
            </w:rPr>
            <w:t>Call to order</w:t>
          </w:r>
        </w:sdtContent>
      </w:sdt>
      <w:r w:rsidR="00480C22" w:rsidRPr="002F533D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 xml:space="preserve"> &amp; Pledge of Allegiance</w:t>
      </w:r>
    </w:p>
    <w:p w14:paraId="5F0924E3" w14:textId="73431FD0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 xml:space="preserve">Approval of minutes for </w:t>
      </w:r>
      <w:r w:rsidR="00DE40B8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>August 20, 2024</w:t>
      </w:r>
      <w:r w:rsidR="00981D44" w:rsidRPr="002F533D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 xml:space="preserve"> </w:t>
      </w:r>
    </w:p>
    <w:p w14:paraId="7CD911C5" w14:textId="6E905207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EMS Report</w:t>
      </w:r>
    </w:p>
    <w:p w14:paraId="2E8BB5B1" w14:textId="77777777" w:rsidR="00480C22" w:rsidRPr="002F533D" w:rsidRDefault="00480C22" w:rsidP="00F963FD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Fire Co. Business/Report</w:t>
      </w:r>
    </w:p>
    <w:p w14:paraId="0B3A3C08" w14:textId="77777777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Public Comment</w:t>
      </w:r>
    </w:p>
    <w:p w14:paraId="541DAD23" w14:textId="6D1532A6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Finances – Approve </w:t>
      </w:r>
      <w:r w:rsidR="00F36577" w:rsidRPr="002F533D">
        <w:rPr>
          <w:rFonts w:ascii="Dubai" w:hAnsi="Dubai" w:cs="Dubai"/>
          <w:color w:val="1F3864" w:themeColor="accent1" w:themeShade="80"/>
          <w:sz w:val="22"/>
          <w:szCs w:val="22"/>
        </w:rPr>
        <w:t>Bill List</w:t>
      </w:r>
      <w:r w:rsidR="0018214C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for </w:t>
      </w:r>
      <w:r w:rsidR="00DE40B8">
        <w:rPr>
          <w:rFonts w:ascii="Dubai" w:hAnsi="Dubai" w:cs="Dubai"/>
          <w:color w:val="1F3864" w:themeColor="accent1" w:themeShade="80"/>
          <w:sz w:val="22"/>
          <w:szCs w:val="22"/>
        </w:rPr>
        <w:t>September 17, 2024 &amp; Revised Bill List for August 20, 2024</w:t>
      </w:r>
    </w:p>
    <w:p w14:paraId="1187F454" w14:textId="6EB12B8F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Treasurer’s Report</w:t>
      </w:r>
    </w:p>
    <w:p w14:paraId="27B50179" w14:textId="2761B3F8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Roadmaster Report </w:t>
      </w:r>
      <w:bookmarkStart w:id="0" w:name="_Hlk127469385"/>
      <w:r w:rsidR="00BC2AA7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– </w:t>
      </w:r>
      <w:r w:rsidR="00DE40B8">
        <w:rPr>
          <w:rFonts w:ascii="Dubai" w:hAnsi="Dubai" w:cs="Dubai"/>
          <w:color w:val="1F3864" w:themeColor="accent1" w:themeShade="80"/>
          <w:sz w:val="22"/>
          <w:szCs w:val="22"/>
        </w:rPr>
        <w:t>210</w:t>
      </w:r>
      <w:r w:rsidR="00B66EEB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Hours:  </w:t>
      </w:r>
      <w:r w:rsidR="00DE40B8">
        <w:rPr>
          <w:rFonts w:ascii="Dubai" w:hAnsi="Dubai" w:cs="Dubai"/>
          <w:color w:val="1F3864" w:themeColor="accent1" w:themeShade="80"/>
          <w:sz w:val="22"/>
          <w:szCs w:val="22"/>
        </w:rPr>
        <w:t>cleaned equipment, equipment maintenance, trimmed trees, mowed roadways &amp; guard rails, cleaned gutters/culverts</w:t>
      </w:r>
    </w:p>
    <w:bookmarkEnd w:id="0"/>
    <w:p w14:paraId="2AB83EAC" w14:textId="77777777" w:rsidR="00B5737D" w:rsidRPr="002F533D" w:rsidRDefault="00480C22" w:rsidP="00B5737D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Solicitor Report</w:t>
      </w:r>
    </w:p>
    <w:p w14:paraId="217B150B" w14:textId="34CD5D89" w:rsidR="000D6854" w:rsidRPr="00DE40B8" w:rsidRDefault="00FC7694" w:rsidP="00B5737D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DE40B8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0D6854" w:rsidRPr="00DE40B8">
        <w:rPr>
          <w:rFonts w:ascii="Dubai" w:hAnsi="Dubai" w:cs="Dubai"/>
          <w:color w:val="1F3864" w:themeColor="accent1" w:themeShade="80"/>
          <w:sz w:val="22"/>
          <w:szCs w:val="22"/>
        </w:rPr>
        <w:t>Update on Comcast &amp; Zito contracts</w:t>
      </w:r>
    </w:p>
    <w:p w14:paraId="3971AC4B" w14:textId="458A243D" w:rsidR="00682147" w:rsidRPr="002F533D" w:rsidRDefault="00CB6DB2" w:rsidP="00CB6DB2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Section 5.26 (D) of Zoning Ordinance.  Has a </w:t>
      </w:r>
      <w:r w:rsidR="002F533D" w:rsidRPr="002F533D">
        <w:rPr>
          <w:rFonts w:ascii="Dubai" w:hAnsi="Dubai" w:cs="Dubai"/>
          <w:color w:val="1F3864" w:themeColor="accent1" w:themeShade="80"/>
          <w:sz w:val="22"/>
          <w:szCs w:val="22"/>
        </w:rPr>
        <w:t>stand-alone</w:t>
      </w: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proposed ordinance been done?</w:t>
      </w:r>
    </w:p>
    <w:p w14:paraId="607FC647" w14:textId="3B6EBAEA" w:rsidR="00480C22" w:rsidRPr="002F533D" w:rsidRDefault="00480C22" w:rsidP="00F36577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Sewage Enforcement </w:t>
      </w:r>
      <w:r w:rsidR="009E0931" w:rsidRPr="002F533D">
        <w:rPr>
          <w:rFonts w:ascii="Dubai" w:hAnsi="Dubai" w:cs="Dubai"/>
          <w:color w:val="1F3864" w:themeColor="accent1" w:themeShade="80"/>
          <w:sz w:val="22"/>
          <w:szCs w:val="22"/>
        </w:rPr>
        <w:t>–</w:t>
      </w:r>
      <w:r w:rsidR="00981D44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FC7694" w:rsidRPr="002F533D">
        <w:rPr>
          <w:rFonts w:ascii="Dubai" w:hAnsi="Dubai" w:cs="Dubai"/>
          <w:color w:val="1F3864" w:themeColor="accent1" w:themeShade="80"/>
          <w:sz w:val="22"/>
          <w:szCs w:val="22"/>
        </w:rPr>
        <w:t>None</w:t>
      </w:r>
    </w:p>
    <w:p w14:paraId="38AF4031" w14:textId="0B5E59B2" w:rsidR="00993D8B" w:rsidRPr="002F533D" w:rsidRDefault="00480C22" w:rsidP="00DE40B8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Code &amp; Zoning Officer Report</w:t>
      </w:r>
      <w:r w:rsidR="009E0931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– Joe Bilger</w:t>
      </w:r>
    </w:p>
    <w:p w14:paraId="4722C4D4" w14:textId="399C1EA0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Zoning Hearing Board Report </w:t>
      </w:r>
      <w:r w:rsidR="0018214C" w:rsidRPr="002F533D">
        <w:rPr>
          <w:rFonts w:ascii="Dubai" w:hAnsi="Dubai" w:cs="Dubai"/>
          <w:color w:val="1F3864" w:themeColor="accent1" w:themeShade="80"/>
          <w:sz w:val="22"/>
          <w:szCs w:val="22"/>
        </w:rPr>
        <w:t>–</w:t>
      </w:r>
      <w:r w:rsidR="006000DD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None</w:t>
      </w:r>
    </w:p>
    <w:p w14:paraId="1BE5CE36" w14:textId="56D200E6" w:rsidR="00480C22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New Business </w:t>
      </w:r>
    </w:p>
    <w:p w14:paraId="306B054F" w14:textId="77777777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Secretary Comments </w:t>
      </w:r>
    </w:p>
    <w:p w14:paraId="17D16563" w14:textId="5B675CD8" w:rsidR="00993D8B" w:rsidRDefault="00DE40B8" w:rsidP="00993D8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Gordon Nenninger:  402 West Main Street.  Owes an invoice for Sewage Enforcement Services.  Invoice sent July 16, 2024.  Payment not received to-date.  Permission for secretary to send out notice of delinquency via certified &amp; regular mail with 30-day deadline or will be turned over to Marcus for collection.</w:t>
      </w:r>
    </w:p>
    <w:p w14:paraId="0CA7FB07" w14:textId="77777777" w:rsidR="00DE40B8" w:rsidRDefault="00DE40B8" w:rsidP="00993D8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Reminder:  Cumberland Co Convention is October 3</w:t>
      </w:r>
      <w:r w:rsidRPr="00DE40B8">
        <w:rPr>
          <w:rFonts w:ascii="Dubai" w:hAnsi="Dubai" w:cs="Dubai"/>
          <w:color w:val="1F3864" w:themeColor="accent1" w:themeShade="80"/>
          <w:sz w:val="22"/>
          <w:szCs w:val="22"/>
          <w:vertAlign w:val="superscript"/>
        </w:rPr>
        <w:t>rd</w:t>
      </w:r>
      <w:r>
        <w:rPr>
          <w:rFonts w:ascii="Dubai" w:hAnsi="Dubai" w:cs="Dubai"/>
          <w:color w:val="1F3864" w:themeColor="accent1" w:themeShade="80"/>
          <w:sz w:val="22"/>
          <w:szCs w:val="22"/>
        </w:rPr>
        <w:t>.</w:t>
      </w:r>
      <w:r w:rsidRPr="00DE40B8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</w:p>
    <w:p w14:paraId="658D9CDC" w14:textId="0EDA1057" w:rsidR="00DE40B8" w:rsidRPr="002F533D" w:rsidRDefault="00DE40B8" w:rsidP="00993D8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Comprehensive Plan update</w:t>
      </w:r>
      <w:r>
        <w:rPr>
          <w:rFonts w:ascii="Dubai" w:hAnsi="Dubai" w:cs="Dubai"/>
          <w:color w:val="1F3864" w:themeColor="accent1" w:themeShade="80"/>
          <w:sz w:val="22"/>
          <w:szCs w:val="22"/>
        </w:rPr>
        <w:t>:</w:t>
      </w: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>
        <w:rPr>
          <w:rFonts w:ascii="Dubai" w:hAnsi="Dubai" w:cs="Dubai"/>
          <w:color w:val="1F3864" w:themeColor="accent1" w:themeShade="80"/>
          <w:sz w:val="22"/>
          <w:szCs w:val="22"/>
        </w:rPr>
        <w:t>Survey complete.  No meeting in September.</w:t>
      </w:r>
    </w:p>
    <w:p w14:paraId="1C2B162B" w14:textId="5D50AD3A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Supervisor Commen</w:t>
      </w:r>
      <w:r w:rsidR="00453E02" w:rsidRPr="002F533D">
        <w:rPr>
          <w:rFonts w:ascii="Dubai" w:hAnsi="Dubai" w:cs="Dubai"/>
          <w:color w:val="1F3864" w:themeColor="accent1" w:themeShade="80"/>
          <w:sz w:val="22"/>
          <w:szCs w:val="22"/>
        </w:rPr>
        <w:t>t</w:t>
      </w: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</w:t>
      </w:r>
    </w:p>
    <w:p w14:paraId="5CA880BD" w14:textId="479AAECD" w:rsidR="00F313BE" w:rsidRPr="002F533D" w:rsidRDefault="00F313BE" w:rsidP="00F313BE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Supervisor Gantz:  </w:t>
      </w:r>
    </w:p>
    <w:p w14:paraId="4E56654A" w14:textId="4E4A7718" w:rsidR="00CB6DB2" w:rsidRPr="002F533D" w:rsidRDefault="00CB6DB2" w:rsidP="00F313BE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Supervisor Durff:</w:t>
      </w:r>
    </w:p>
    <w:p w14:paraId="1C9675E8" w14:textId="0D489979" w:rsidR="00CB6DB2" w:rsidRPr="002F533D" w:rsidRDefault="00CB6DB2" w:rsidP="00F313BE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Supervisor Henry:</w:t>
      </w:r>
    </w:p>
    <w:p w14:paraId="3BFE2891" w14:textId="77777777" w:rsidR="00480C22" w:rsidRPr="002F533D" w:rsidRDefault="00000000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sdt>
        <w:sdtPr>
          <w:rPr>
            <w:rFonts w:ascii="Dubai" w:hAnsi="Dubai" w:cs="Dubai"/>
            <w:color w:val="1F3864" w:themeColor="accent1" w:themeShade="80"/>
            <w:sz w:val="22"/>
            <w:szCs w:val="22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2F533D">
            <w:rPr>
              <w:rFonts w:ascii="Dubai" w:hAnsi="Dubai" w:cs="Dubai"/>
              <w:color w:val="1F3864" w:themeColor="accent1" w:themeShade="80"/>
              <w:sz w:val="22"/>
              <w:szCs w:val="22"/>
            </w:rPr>
            <w:t>Adjournment</w:t>
          </w:r>
        </w:sdtContent>
      </w:sdt>
      <w:r w:rsidR="00480C22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</w:p>
    <w:p w14:paraId="5FC6CD6E" w14:textId="77777777" w:rsidR="00480C22" w:rsidRPr="002F533D" w:rsidRDefault="00480C22" w:rsidP="00480C22">
      <w:pPr>
        <w:pStyle w:val="NoSpacing"/>
        <w:rPr>
          <w:rFonts w:ascii="Adobe Devanagari" w:hAnsi="Adobe Devanagari" w:cs="Adobe Devanagari"/>
          <w:color w:val="1F3864" w:themeColor="accent1" w:themeShade="80"/>
          <w:sz w:val="22"/>
          <w:szCs w:val="22"/>
        </w:rPr>
      </w:pPr>
    </w:p>
    <w:sectPr w:rsidR="00480C22" w:rsidRPr="002F533D" w:rsidSect="007D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71DB" w14:textId="77777777" w:rsidR="002B1BDA" w:rsidRDefault="002B1BDA" w:rsidP="00480C22">
      <w:pPr>
        <w:spacing w:after="0" w:line="240" w:lineRule="auto"/>
      </w:pPr>
      <w:r>
        <w:separator/>
      </w:r>
    </w:p>
  </w:endnote>
  <w:endnote w:type="continuationSeparator" w:id="0">
    <w:p w14:paraId="5B1310BB" w14:textId="77777777" w:rsidR="002B1BDA" w:rsidRDefault="002B1BDA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E40B" w14:textId="77777777" w:rsidR="001153ED" w:rsidRDefault="00115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8F11" w14:textId="77777777" w:rsidR="001153ED" w:rsidRDefault="00115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8738" w14:textId="77777777" w:rsidR="001153ED" w:rsidRDefault="00115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94B4" w14:textId="77777777" w:rsidR="002B1BDA" w:rsidRDefault="002B1BDA" w:rsidP="00480C22">
      <w:pPr>
        <w:spacing w:after="0" w:line="240" w:lineRule="auto"/>
      </w:pPr>
      <w:r>
        <w:separator/>
      </w:r>
    </w:p>
  </w:footnote>
  <w:footnote w:type="continuationSeparator" w:id="0">
    <w:p w14:paraId="51C61212" w14:textId="77777777" w:rsidR="002B1BDA" w:rsidRDefault="002B1BDA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994A" w14:textId="77777777" w:rsidR="001153ED" w:rsidRDefault="0011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7290" w14:textId="55813A08" w:rsidR="00480C22" w:rsidRPr="00480C22" w:rsidRDefault="00480C22" w:rsidP="00480C22">
    <w:pPr>
      <w:pStyle w:val="Header"/>
      <w:jc w:val="center"/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0C22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SOUTH NEWTON TOWNSHIP</w:t>
    </w:r>
  </w:p>
  <w:p w14:paraId="56C166A2" w14:textId="5F98CB15" w:rsidR="00480C22" w:rsidRPr="00480C22" w:rsidRDefault="00480C22" w:rsidP="00480C22">
    <w:pPr>
      <w:pStyle w:val="Header"/>
      <w:jc w:val="center"/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0C22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AGENDA FOR </w:t>
    </w:r>
    <w:r w:rsidR="001153ED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September 17</w:t>
    </w:r>
    <w:r w:rsidR="002F533D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="00981D44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2024</w:t>
    </w:r>
    <w:r w:rsidRPr="00480C22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@ 7:00 PM</w:t>
    </w:r>
  </w:p>
  <w:p w14:paraId="43AA7663" w14:textId="3813DA88" w:rsidR="00BD4DDC" w:rsidRDefault="00BD4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4C70"/>
      </v:shape>
    </w:pict>
  </w:numPicBullet>
  <w:abstractNum w:abstractNumId="0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59316B45"/>
    <w:multiLevelType w:val="hybridMultilevel"/>
    <w:tmpl w:val="A358D158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1"/>
  </w:num>
  <w:num w:numId="2" w16cid:durableId="149833290">
    <w:abstractNumId w:val="2"/>
  </w:num>
  <w:num w:numId="3" w16cid:durableId="68775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0430A"/>
    <w:rsid w:val="00041BE9"/>
    <w:rsid w:val="00053A6E"/>
    <w:rsid w:val="00090273"/>
    <w:rsid w:val="000A45DC"/>
    <w:rsid w:val="000A7A74"/>
    <w:rsid w:val="000D6854"/>
    <w:rsid w:val="000E0E5E"/>
    <w:rsid w:val="00112978"/>
    <w:rsid w:val="001153ED"/>
    <w:rsid w:val="001309D4"/>
    <w:rsid w:val="0018214C"/>
    <w:rsid w:val="001A6A28"/>
    <w:rsid w:val="001B6163"/>
    <w:rsid w:val="001D167E"/>
    <w:rsid w:val="001D76B2"/>
    <w:rsid w:val="00206EE0"/>
    <w:rsid w:val="00276E74"/>
    <w:rsid w:val="002834C6"/>
    <w:rsid w:val="002B1BDA"/>
    <w:rsid w:val="002C1B43"/>
    <w:rsid w:val="002D4067"/>
    <w:rsid w:val="002E792C"/>
    <w:rsid w:val="002F533D"/>
    <w:rsid w:val="00374F6B"/>
    <w:rsid w:val="003865D3"/>
    <w:rsid w:val="00437418"/>
    <w:rsid w:val="00453E02"/>
    <w:rsid w:val="00464BB1"/>
    <w:rsid w:val="00470048"/>
    <w:rsid w:val="00480C22"/>
    <w:rsid w:val="004E7299"/>
    <w:rsid w:val="00516168"/>
    <w:rsid w:val="00534BEC"/>
    <w:rsid w:val="00577C36"/>
    <w:rsid w:val="005B02BC"/>
    <w:rsid w:val="005C24D6"/>
    <w:rsid w:val="006000DD"/>
    <w:rsid w:val="00622EC4"/>
    <w:rsid w:val="00661507"/>
    <w:rsid w:val="0067523D"/>
    <w:rsid w:val="00682147"/>
    <w:rsid w:val="00685FAA"/>
    <w:rsid w:val="006A3DEB"/>
    <w:rsid w:val="006C7694"/>
    <w:rsid w:val="006E34B8"/>
    <w:rsid w:val="006E3F08"/>
    <w:rsid w:val="006E6823"/>
    <w:rsid w:val="00732302"/>
    <w:rsid w:val="00741E34"/>
    <w:rsid w:val="007668DD"/>
    <w:rsid w:val="007D265B"/>
    <w:rsid w:val="008221F9"/>
    <w:rsid w:val="00873DD4"/>
    <w:rsid w:val="008766B6"/>
    <w:rsid w:val="008C6BEA"/>
    <w:rsid w:val="008D54DE"/>
    <w:rsid w:val="00981D44"/>
    <w:rsid w:val="00982E28"/>
    <w:rsid w:val="00993D8B"/>
    <w:rsid w:val="009E0931"/>
    <w:rsid w:val="00A14FAE"/>
    <w:rsid w:val="00A3085D"/>
    <w:rsid w:val="00A9181E"/>
    <w:rsid w:val="00AE2E7B"/>
    <w:rsid w:val="00B01337"/>
    <w:rsid w:val="00B2008E"/>
    <w:rsid w:val="00B341D9"/>
    <w:rsid w:val="00B464BB"/>
    <w:rsid w:val="00B5737D"/>
    <w:rsid w:val="00B66EEB"/>
    <w:rsid w:val="00B71203"/>
    <w:rsid w:val="00BC2AA7"/>
    <w:rsid w:val="00BD4DDC"/>
    <w:rsid w:val="00C16163"/>
    <w:rsid w:val="00C27898"/>
    <w:rsid w:val="00C825A9"/>
    <w:rsid w:val="00CA3997"/>
    <w:rsid w:val="00CA5F94"/>
    <w:rsid w:val="00CB6DB2"/>
    <w:rsid w:val="00CB76AF"/>
    <w:rsid w:val="00D27BEA"/>
    <w:rsid w:val="00DE40B8"/>
    <w:rsid w:val="00E15406"/>
    <w:rsid w:val="00F05E6D"/>
    <w:rsid w:val="00F313BE"/>
    <w:rsid w:val="00F36577"/>
    <w:rsid w:val="00F40FDE"/>
    <w:rsid w:val="00F963FD"/>
    <w:rsid w:val="00FC769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322ED"/>
    <w:rsid w:val="00032C77"/>
    <w:rsid w:val="00041766"/>
    <w:rsid w:val="000A7A74"/>
    <w:rsid w:val="0015094E"/>
    <w:rsid w:val="001666F3"/>
    <w:rsid w:val="002668C4"/>
    <w:rsid w:val="00287691"/>
    <w:rsid w:val="002962AD"/>
    <w:rsid w:val="002B2098"/>
    <w:rsid w:val="003865D3"/>
    <w:rsid w:val="004231A8"/>
    <w:rsid w:val="00437418"/>
    <w:rsid w:val="005751F7"/>
    <w:rsid w:val="00621B43"/>
    <w:rsid w:val="00623B51"/>
    <w:rsid w:val="006610A0"/>
    <w:rsid w:val="006E34B8"/>
    <w:rsid w:val="006E6823"/>
    <w:rsid w:val="006F27E0"/>
    <w:rsid w:val="007010A3"/>
    <w:rsid w:val="007233E4"/>
    <w:rsid w:val="00741E34"/>
    <w:rsid w:val="00751231"/>
    <w:rsid w:val="007637CB"/>
    <w:rsid w:val="00B557C1"/>
    <w:rsid w:val="00B71203"/>
    <w:rsid w:val="00BC6044"/>
    <w:rsid w:val="00BD7B67"/>
    <w:rsid w:val="00C42E0F"/>
    <w:rsid w:val="00D00439"/>
    <w:rsid w:val="00D75C61"/>
    <w:rsid w:val="00DB6458"/>
    <w:rsid w:val="00ED6AC9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4</cp:revision>
  <cp:lastPrinted>2024-08-19T19:40:00Z</cp:lastPrinted>
  <dcterms:created xsi:type="dcterms:W3CDTF">2024-09-17T14:43:00Z</dcterms:created>
  <dcterms:modified xsi:type="dcterms:W3CDTF">2024-09-17T14:44:00Z</dcterms:modified>
</cp:coreProperties>
</file>